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EF3" w:rsidRDefault="00957D49">
      <w:pPr>
        <w:spacing w:after="0" w:line="240" w:lineRule="auto"/>
        <w:ind w:left="119" w:firstLine="23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1EF3" w:rsidRDefault="00957D49">
      <w:pPr>
        <w:spacing w:after="0" w:line="240" w:lineRule="auto"/>
        <w:ind w:left="119" w:firstLine="23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r>
        <w:rPr>
          <w:sz w:val="28"/>
          <w:lang w:val="ru-RU"/>
        </w:rPr>
        <w:br/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Новоивановская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1EF3" w:rsidRDefault="00957D49">
      <w:pPr>
        <w:spacing w:after="0" w:line="240" w:lineRule="auto"/>
        <w:ind w:left="119" w:firstLine="23"/>
        <w:jc w:val="center"/>
      </w:pPr>
      <w:bookmarkStart w:id="1" w:name="f11d21d1-8bec-4df3-85d2-f4d0bca3e7ae"/>
      <w:proofErr w:type="spellStart"/>
      <w:r>
        <w:rPr>
          <w:rFonts w:ascii="Times New Roman" w:hAnsi="Times New Roman"/>
          <w:b/>
          <w:color w:val="000000"/>
          <w:sz w:val="28"/>
        </w:rPr>
        <w:t>Зерноградского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bookmarkEnd w:id="1"/>
      <w:proofErr w:type="spellEnd"/>
    </w:p>
    <w:p w:rsidR="00191EF3" w:rsidRDefault="00191EF3">
      <w:pPr>
        <w:spacing w:after="0"/>
        <w:ind w:left="119" w:firstLine="23"/>
      </w:pPr>
    </w:p>
    <w:p w:rsidR="00191EF3" w:rsidRDefault="00191EF3">
      <w:pPr>
        <w:spacing w:after="0"/>
        <w:ind w:left="119" w:firstLine="23"/>
      </w:pPr>
    </w:p>
    <w:tbl>
      <w:tblPr>
        <w:tblW w:w="10468" w:type="dxa"/>
        <w:tblLook w:val="04A0" w:firstRow="1" w:lastRow="0" w:firstColumn="1" w:lastColumn="0" w:noHBand="0" w:noVBand="1"/>
      </w:tblPr>
      <w:tblGrid>
        <w:gridCol w:w="3685"/>
        <w:gridCol w:w="3545"/>
        <w:gridCol w:w="3238"/>
      </w:tblGrid>
      <w:tr w:rsidR="00191EF3" w:rsidRPr="000B1CD3">
        <w:tc>
          <w:tcPr>
            <w:tcW w:w="3685" w:type="dxa"/>
          </w:tcPr>
          <w:p w:rsidR="00191EF3" w:rsidRDefault="00957D49">
            <w:pPr>
              <w:spacing w:after="120" w:line="240" w:lineRule="auto"/>
              <w:ind w:left="119" w:firstLine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1EF3" w:rsidRDefault="00957D49">
            <w:pPr>
              <w:spacing w:after="0" w:line="240" w:lineRule="auto"/>
              <w:ind w:left="119" w:firstLine="23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Божко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№01 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08   2024 г.</w:t>
            </w:r>
          </w:p>
          <w:p w:rsidR="00191EF3" w:rsidRDefault="00191EF3">
            <w:pPr>
              <w:spacing w:after="120" w:line="240" w:lineRule="auto"/>
              <w:ind w:left="119" w:firstLine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5" w:type="dxa"/>
          </w:tcPr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1EF3" w:rsidRDefault="00957D49">
            <w:pPr>
              <w:spacing w:after="0" w:line="240" w:lineRule="auto"/>
              <w:ind w:left="119" w:firstLine="23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Безщекая</w:t>
            </w:r>
            <w:proofErr w:type="spellEnd"/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 w:rsidR="00191EF3" w:rsidRDefault="00191EF3">
            <w:pPr>
              <w:spacing w:after="120" w:line="240" w:lineRule="auto"/>
              <w:ind w:left="119" w:firstLine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91EF3" w:rsidRDefault="00191EF3">
            <w:pPr>
              <w:spacing w:after="120" w:line="240" w:lineRule="auto"/>
              <w:ind w:left="119" w:firstLine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91EF3" w:rsidRDefault="00191EF3">
            <w:pPr>
              <w:spacing w:after="120" w:line="240" w:lineRule="auto"/>
              <w:ind w:left="119" w:firstLine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91EF3" w:rsidRDefault="00191EF3">
            <w:pPr>
              <w:spacing w:after="120" w:line="240" w:lineRule="auto"/>
              <w:ind w:left="119" w:firstLine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8" w:type="dxa"/>
          </w:tcPr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Директором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191EF3" w:rsidRDefault="00957D49">
            <w:pPr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1EF3" w:rsidRDefault="00957D49">
            <w:pPr>
              <w:spacing w:after="0" w:line="240" w:lineRule="auto"/>
              <w:ind w:left="119" w:firstLine="23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 Ю.А.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№124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2024 г.</w:t>
            </w:r>
          </w:p>
          <w:p w:rsidR="00191EF3" w:rsidRDefault="00191EF3">
            <w:pPr>
              <w:spacing w:after="120" w:line="240" w:lineRule="auto"/>
              <w:ind w:left="119" w:firstLine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1EF3" w:rsidRDefault="00191EF3">
      <w:pPr>
        <w:spacing w:after="0"/>
        <w:ind w:left="119" w:firstLine="23"/>
        <w:rPr>
          <w:lang w:val="ru-RU"/>
        </w:rPr>
      </w:pPr>
    </w:p>
    <w:p w:rsidR="00191EF3" w:rsidRDefault="00191EF3">
      <w:pPr>
        <w:spacing w:after="0" w:line="240" w:lineRule="auto"/>
        <w:ind w:left="119" w:firstLine="23"/>
        <w:rPr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191EF3" w:rsidRDefault="00191EF3">
      <w:pPr>
        <w:spacing w:after="0" w:line="240" w:lineRule="auto"/>
        <w:ind w:left="119" w:firstLine="23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ID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5645898)</w:t>
      </w:r>
    </w:p>
    <w:p w:rsidR="00191EF3" w:rsidRDefault="00191EF3">
      <w:pPr>
        <w:spacing w:after="0" w:line="240" w:lineRule="auto"/>
        <w:ind w:left="119" w:firstLine="23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191EF3" w:rsidRDefault="00957D49">
      <w:pPr>
        <w:spacing w:after="0" w:line="240" w:lineRule="auto"/>
        <w:ind w:left="119" w:firstLine="23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2 класса </w:t>
      </w:r>
    </w:p>
    <w:p w:rsidR="00191EF3" w:rsidRDefault="00191EF3">
      <w:pPr>
        <w:spacing w:after="0"/>
        <w:ind w:left="119" w:firstLine="23"/>
        <w:rPr>
          <w:lang w:val="ru-RU"/>
        </w:rPr>
      </w:pPr>
    </w:p>
    <w:p w:rsidR="00191EF3" w:rsidRDefault="00957D49">
      <w:pPr>
        <w:spacing w:after="0"/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Литературное чтение. Учеб.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В 2 ч.  / Л.Ф.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Климанова,  В.Г.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Горецкий, М.В. Голованова и др.- М.: Просвещение, 2023.</w:t>
      </w:r>
    </w:p>
    <w:p w:rsidR="00191EF3" w:rsidRDefault="00191EF3">
      <w:pPr>
        <w:spacing w:after="0"/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191EF3">
      <w:pPr>
        <w:spacing w:after="0"/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191EF3">
      <w:pPr>
        <w:spacing w:after="0"/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191EF3">
      <w:pPr>
        <w:spacing w:after="0"/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191EF3">
      <w:pPr>
        <w:spacing w:after="0" w:line="240" w:lineRule="auto"/>
        <w:ind w:left="119" w:firstLine="2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Савцова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К.И.</w:t>
      </w:r>
    </w:p>
    <w:p w:rsidR="00191EF3" w:rsidRDefault="00957D49">
      <w:pPr>
        <w:spacing w:after="0" w:line="240" w:lineRule="auto"/>
        <w:ind w:left="119" w:firstLine="2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учитель начальных классов </w:t>
      </w: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957D49">
      <w:pPr>
        <w:spacing w:after="0"/>
        <w:ind w:left="119" w:firstLine="23"/>
        <w:jc w:val="center"/>
        <w:rPr>
          <w:lang w:val="ru-RU"/>
        </w:rPr>
      </w:pPr>
      <w:bookmarkStart w:id="2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с.Новоивановка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957D49">
      <w:p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91EF3" w:rsidRDefault="00191EF3">
      <w:pPr>
        <w:spacing w:after="0"/>
        <w:ind w:left="119" w:firstLine="23"/>
        <w:jc w:val="center"/>
        <w:rPr>
          <w:lang w:val="ru-RU"/>
        </w:rPr>
      </w:pPr>
    </w:p>
    <w:p w:rsidR="00191EF3" w:rsidRDefault="00191EF3">
      <w:pPr>
        <w:spacing w:after="0" w:line="240" w:lineRule="auto"/>
        <w:ind w:left="119" w:firstLine="23"/>
        <w:rPr>
          <w:sz w:val="24"/>
          <w:szCs w:val="24"/>
          <w:lang w:val="ru-RU"/>
        </w:rPr>
      </w:pPr>
      <w:bookmarkStart w:id="4" w:name="block-42899091"/>
      <w:bookmarkEnd w:id="4"/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1EF3" w:rsidRDefault="00191EF3">
      <w:pPr>
        <w:spacing w:after="0" w:line="240" w:lineRule="auto"/>
        <w:ind w:left="119" w:firstLine="23"/>
        <w:rPr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91EF3" w:rsidRDefault="00191EF3">
      <w:pPr>
        <w:spacing w:after="0" w:line="240" w:lineRule="auto"/>
        <w:ind w:left="119" w:firstLine="23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91EF3" w:rsidRDefault="00957D49">
      <w:pPr>
        <w:numPr>
          <w:ilvl w:val="0"/>
          <w:numId w:val="1"/>
        </w:num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91EF3" w:rsidRDefault="00957D49">
      <w:pPr>
        <w:numPr>
          <w:ilvl w:val="0"/>
          <w:numId w:val="1"/>
        </w:num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91EF3" w:rsidRDefault="00957D49">
      <w:pPr>
        <w:numPr>
          <w:ilvl w:val="0"/>
          <w:numId w:val="1"/>
        </w:num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91EF3" w:rsidRDefault="00957D49">
      <w:pPr>
        <w:numPr>
          <w:ilvl w:val="0"/>
          <w:numId w:val="1"/>
        </w:num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91EF3" w:rsidRDefault="00957D49">
      <w:pPr>
        <w:numPr>
          <w:ilvl w:val="0"/>
          <w:numId w:val="1"/>
        </w:num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91EF3" w:rsidRDefault="00957D49">
      <w:pPr>
        <w:numPr>
          <w:ilvl w:val="0"/>
          <w:numId w:val="1"/>
        </w:num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91EF3" w:rsidRDefault="00957D49">
      <w:pPr>
        <w:numPr>
          <w:ilvl w:val="0"/>
          <w:numId w:val="1"/>
        </w:numPr>
        <w:spacing w:after="0" w:line="240" w:lineRule="auto"/>
        <w:ind w:left="119" w:firstLine="23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литературного образования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91EF3" w:rsidRDefault="00957D49">
      <w:pPr>
        <w:spacing w:after="0" w:line="240" w:lineRule="auto"/>
        <w:ind w:left="119" w:firstLine="23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1EF3" w:rsidRDefault="00957D49">
      <w:pPr>
        <w:spacing w:after="0" w:line="240" w:lineRule="auto"/>
        <w:ind w:left="119" w:firstLine="23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во 2 классе отводится 170 ч.</w:t>
      </w:r>
    </w:p>
    <w:p w:rsidR="00191EF3" w:rsidRDefault="00957D49">
      <w:pPr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 Зерноградского района на 2024-2025 учебный год возможна корректировка рабочей программы в связи праздничными днями, выпадающими на дни проведения уроков. Рабочая программа по литературному чтению во 2 классе будет пройдена за 166 часов. Корректировка рабочей программы внесена за счет уплотнения программного материала.</w:t>
      </w:r>
    </w:p>
    <w:p w:rsidR="00191EF3" w:rsidRDefault="00191EF3">
      <w:pPr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2899092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6" w:name="eb176ee2-af43-40d4-a1ee-b090419c117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7" w:name="133f36d8-58eb-4703-aa32-18eef51ef65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7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8" w:name="60d4b361-5c35-450d-9ed8-60410acf6db4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8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народная сказка «Зимовье зверей», русская народная сказка «Снегурочка», сказки народов России </w:t>
      </w:r>
      <w:bookmarkStart w:id="9" w:name="d90ce49e-f5c7-4bfc-ba4a-92feb4e54a5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9"/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0" w:name="a9441494-befb-474c-980d-17418cebb9a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1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1" w:name="9e6d0f8b-b9cc-4a5a-96f8-fa217be0cdd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2" w:name="e5c2f998-10e7-44fc-bdda-dfec1693f887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Скребицкий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3" w:name="2d1b25dd-7e61-4fc3-9b40-52f6c7be69e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4" w:name="6412d18c-a4c6-4681-9757-e9608467f10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4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</w:t>
      </w:r>
      <w:bookmarkStart w:id="15" w:name="6d735cba-503d-4ed1-a53f-5468e4a27f0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5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6" w:name="3f36f3cc-f68d-481c-9f68-8a09ab5407f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В. Бианки, С. В. Михалкова, Б. С. Житкова, М. М. Пришвина </w:t>
      </w:r>
      <w:bookmarkStart w:id="17" w:name="dd853ef0-68f9-4441-80c5-be39b469ea4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7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</w:t>
      </w:r>
      <w:bookmarkStart w:id="18" w:name="305fc3fd-0d75-43c6-b5e8-b77dae86586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8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наших близких, о семье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9" w:name="8497a925-adbe-4600-9382-168da4c3c80b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1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Баруздин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«Салют» </w:t>
      </w:r>
      <w:bookmarkStart w:id="20" w:name="c4dddd01-51be-4cab-bffc-20489de7184c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bookmarkStart w:id="21" w:name="0c3ae019-4704-47be-8c05-88069337bebf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зарубежные писатели-сказочники (Ш. Перро, Х.-К. Андерсен </w:t>
      </w:r>
      <w:bookmarkStart w:id="22" w:name="0e95da97-7b05-41cd-84b7-0db56826c5ee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Ш. Перро «Кот в сапогах», Х.-К. Андерсен «Пятеро из одного стручка» </w:t>
      </w:r>
      <w:bookmarkStart w:id="23" w:name="63220a7a-3056-4cb7-8b8f-8dfa3716a258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91EF3" w:rsidRDefault="00957D49">
      <w:pPr>
        <w:numPr>
          <w:ilvl w:val="0"/>
          <w:numId w:val="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91EF3" w:rsidRDefault="00957D49">
      <w:pPr>
        <w:numPr>
          <w:ilvl w:val="0"/>
          <w:numId w:val="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191EF3" w:rsidRDefault="00957D49">
      <w:pPr>
        <w:numPr>
          <w:ilvl w:val="0"/>
          <w:numId w:val="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91EF3" w:rsidRDefault="00957D49">
      <w:pPr>
        <w:numPr>
          <w:ilvl w:val="0"/>
          <w:numId w:val="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91EF3" w:rsidRDefault="00957D49">
      <w:pPr>
        <w:numPr>
          <w:ilvl w:val="0"/>
          <w:numId w:val="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191EF3" w:rsidRDefault="00957D49">
      <w:pPr>
        <w:numPr>
          <w:ilvl w:val="0"/>
          <w:numId w:val="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91EF3" w:rsidRDefault="00957D49">
      <w:pPr>
        <w:numPr>
          <w:ilvl w:val="0"/>
          <w:numId w:val="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заданную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1EF3" w:rsidRDefault="00957D49">
      <w:pPr>
        <w:numPr>
          <w:ilvl w:val="0"/>
          <w:numId w:val="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191EF3" w:rsidRDefault="00957D49">
      <w:pPr>
        <w:numPr>
          <w:ilvl w:val="0"/>
          <w:numId w:val="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191EF3" w:rsidRDefault="00957D49">
      <w:pPr>
        <w:numPr>
          <w:ilvl w:val="0"/>
          <w:numId w:val="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картины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природы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1EF3" w:rsidRDefault="00957D49">
      <w:pPr>
        <w:numPr>
          <w:ilvl w:val="0"/>
          <w:numId w:val="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рассказы, небольшие сказки;</w:t>
      </w:r>
    </w:p>
    <w:p w:rsidR="00191EF3" w:rsidRDefault="00957D49">
      <w:pPr>
        <w:numPr>
          <w:ilvl w:val="0"/>
          <w:numId w:val="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91EF3" w:rsidRDefault="00957D49">
      <w:pPr>
        <w:numPr>
          <w:ilvl w:val="0"/>
          <w:numId w:val="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91EF3" w:rsidRDefault="00957D49">
      <w:pPr>
        <w:numPr>
          <w:ilvl w:val="0"/>
          <w:numId w:val="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191EF3" w:rsidRDefault="00957D49">
      <w:pPr>
        <w:numPr>
          <w:ilvl w:val="0"/>
          <w:numId w:val="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191EF3" w:rsidRDefault="00957D49">
      <w:pPr>
        <w:numPr>
          <w:ilvl w:val="0"/>
          <w:numId w:val="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1EF3" w:rsidRDefault="00957D49">
      <w:pPr>
        <w:numPr>
          <w:ilvl w:val="0"/>
          <w:numId w:val="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91EF3" w:rsidRDefault="00957D49">
      <w:pPr>
        <w:numPr>
          <w:ilvl w:val="0"/>
          <w:numId w:val="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себе партнёров по совместной деятельности;</w:t>
      </w:r>
    </w:p>
    <w:p w:rsidR="00191EF3" w:rsidRDefault="00957D49">
      <w:pPr>
        <w:numPr>
          <w:ilvl w:val="0"/>
          <w:numId w:val="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91EF3" w:rsidRDefault="00191EF3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7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91EF3" w:rsidRDefault="00957D49">
      <w:pPr>
        <w:numPr>
          <w:ilvl w:val="0"/>
          <w:numId w:val="7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91EF3" w:rsidRDefault="00957D49">
      <w:pPr>
        <w:numPr>
          <w:ilvl w:val="0"/>
          <w:numId w:val="7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8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91EF3" w:rsidRDefault="00957D49">
      <w:pPr>
        <w:numPr>
          <w:ilvl w:val="0"/>
          <w:numId w:val="8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91EF3" w:rsidRDefault="00957D49">
      <w:pPr>
        <w:numPr>
          <w:ilvl w:val="0"/>
          <w:numId w:val="8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91EF3" w:rsidRDefault="00957D49">
      <w:pPr>
        <w:numPr>
          <w:ilvl w:val="0"/>
          <w:numId w:val="8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91EF3" w:rsidRDefault="00957D49">
      <w:pPr>
        <w:numPr>
          <w:ilvl w:val="0"/>
          <w:numId w:val="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91EF3" w:rsidRDefault="00957D49">
      <w:pPr>
        <w:numPr>
          <w:ilvl w:val="0"/>
          <w:numId w:val="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1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91EF3" w:rsidRDefault="00957D49">
      <w:pPr>
        <w:numPr>
          <w:ilvl w:val="0"/>
          <w:numId w:val="11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неприятие действий, приносящих ей вред.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91EF3" w:rsidRDefault="00957D49">
      <w:pPr>
        <w:numPr>
          <w:ilvl w:val="0"/>
          <w:numId w:val="1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91EF3" w:rsidRDefault="00957D49">
      <w:pPr>
        <w:numPr>
          <w:ilvl w:val="0"/>
          <w:numId w:val="12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91EF3" w:rsidRDefault="00191EF3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91EF3" w:rsidRDefault="00957D49">
      <w:pPr>
        <w:numPr>
          <w:ilvl w:val="0"/>
          <w:numId w:val="1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91EF3" w:rsidRDefault="00957D49">
      <w:pPr>
        <w:numPr>
          <w:ilvl w:val="0"/>
          <w:numId w:val="1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91EF3" w:rsidRDefault="00957D49">
      <w:pPr>
        <w:numPr>
          <w:ilvl w:val="0"/>
          <w:numId w:val="1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91EF3" w:rsidRDefault="00957D49">
      <w:pPr>
        <w:numPr>
          <w:ilvl w:val="0"/>
          <w:numId w:val="1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91EF3" w:rsidRDefault="00957D49">
      <w:pPr>
        <w:numPr>
          <w:ilvl w:val="0"/>
          <w:numId w:val="13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91EF3" w:rsidRDefault="00957D49">
      <w:pPr>
        <w:numPr>
          <w:ilvl w:val="0"/>
          <w:numId w:val="1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91EF3" w:rsidRDefault="00957D49">
      <w:pPr>
        <w:numPr>
          <w:ilvl w:val="0"/>
          <w:numId w:val="1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91EF3" w:rsidRDefault="00957D49">
      <w:pPr>
        <w:numPr>
          <w:ilvl w:val="0"/>
          <w:numId w:val="1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91EF3" w:rsidRDefault="00957D49">
      <w:pPr>
        <w:numPr>
          <w:ilvl w:val="0"/>
          <w:numId w:val="1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91EF3" w:rsidRDefault="00957D49">
      <w:pPr>
        <w:numPr>
          <w:ilvl w:val="0"/>
          <w:numId w:val="14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1EF3" w:rsidRDefault="00957D49">
      <w:pPr>
        <w:numPr>
          <w:ilvl w:val="0"/>
          <w:numId w:val="1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91EF3" w:rsidRDefault="00957D49">
      <w:pPr>
        <w:numPr>
          <w:ilvl w:val="0"/>
          <w:numId w:val="1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91EF3" w:rsidRDefault="00957D49">
      <w:pPr>
        <w:numPr>
          <w:ilvl w:val="0"/>
          <w:numId w:val="1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91EF3" w:rsidRDefault="00957D49">
      <w:pPr>
        <w:numPr>
          <w:ilvl w:val="0"/>
          <w:numId w:val="1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91EF3" w:rsidRDefault="00957D49">
      <w:pPr>
        <w:numPr>
          <w:ilvl w:val="0"/>
          <w:numId w:val="15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1EF3" w:rsidRDefault="00957D49">
      <w:pPr>
        <w:numPr>
          <w:ilvl w:val="0"/>
          <w:numId w:val="16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7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91EF3" w:rsidRDefault="00957D49">
      <w:pPr>
        <w:numPr>
          <w:ilvl w:val="0"/>
          <w:numId w:val="17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8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91EF3" w:rsidRDefault="00957D49">
      <w:pPr>
        <w:numPr>
          <w:ilvl w:val="0"/>
          <w:numId w:val="18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1EF3" w:rsidRDefault="00957D49">
      <w:pPr>
        <w:numPr>
          <w:ilvl w:val="0"/>
          <w:numId w:val="1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91EF3" w:rsidRDefault="00957D49">
      <w:pPr>
        <w:numPr>
          <w:ilvl w:val="0"/>
          <w:numId w:val="1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1EF3" w:rsidRDefault="00957D49">
      <w:pPr>
        <w:numPr>
          <w:ilvl w:val="0"/>
          <w:numId w:val="1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91EF3" w:rsidRDefault="00957D49">
      <w:pPr>
        <w:numPr>
          <w:ilvl w:val="0"/>
          <w:numId w:val="1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91EF3" w:rsidRDefault="00957D49">
      <w:pPr>
        <w:numPr>
          <w:ilvl w:val="0"/>
          <w:numId w:val="1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91EF3" w:rsidRDefault="00957D49">
      <w:pPr>
        <w:numPr>
          <w:ilvl w:val="0"/>
          <w:numId w:val="19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91EF3" w:rsidRDefault="00191EF3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191EF3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91EF3" w:rsidRDefault="00191EF3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1EF3" w:rsidRDefault="00957D49">
      <w:p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91EF3" w:rsidRDefault="00957D49">
      <w:pPr>
        <w:numPr>
          <w:ilvl w:val="0"/>
          <w:numId w:val="20"/>
        </w:numPr>
        <w:spacing w:after="0" w:line="240" w:lineRule="auto"/>
        <w:ind w:left="119" w:firstLine="23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91EF3">
          <w:pgSz w:w="11906" w:h="16383"/>
          <w:pgMar w:top="568" w:right="567" w:bottom="567" w:left="709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91EF3" w:rsidRDefault="00957D49">
      <w:pPr>
        <w:spacing w:after="0" w:line="240" w:lineRule="auto"/>
        <w:ind w:left="119" w:firstLine="2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4" w:name="block-42899090"/>
      <w:bookmarkEnd w:id="2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Тематическое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планирование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191EF3" w:rsidRDefault="00191EF3">
      <w:pPr>
        <w:spacing w:after="0" w:line="240" w:lineRule="auto"/>
        <w:ind w:left="119" w:firstLine="2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Ind w:w="567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4"/>
        <w:gridCol w:w="3761"/>
        <w:gridCol w:w="953"/>
        <w:gridCol w:w="1126"/>
        <w:gridCol w:w="11"/>
        <w:gridCol w:w="3145"/>
        <w:gridCol w:w="222"/>
      </w:tblGrid>
      <w:tr w:rsidR="00191EF3">
        <w:trPr>
          <w:trHeight w:val="14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191EF3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наших близких, о семье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 w:rsidRPr="000B1CD3">
        <w:trPr>
          <w:trHeight w:val="144"/>
        </w:trPr>
        <w:tc>
          <w:tcPr>
            <w:tcW w:w="4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1EF3" w:rsidRDefault="00957D49">
            <w:pPr>
              <w:spacing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</w:p>
        </w:tc>
        <w:tc>
          <w:tcPr>
            <w:tcW w:w="9" w:type="dxa"/>
            <w:tcMar>
              <w:top w:w="0" w:type="dxa"/>
              <w:left w:w="108" w:type="dxa"/>
            </w:tcMar>
          </w:tcPr>
          <w:p w:rsidR="00191EF3" w:rsidRDefault="00191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91EF3" w:rsidRPr="00957D49" w:rsidRDefault="00191EF3">
      <w:pPr>
        <w:rPr>
          <w:lang w:val="ru-RU"/>
        </w:rPr>
        <w:sectPr w:rsidR="00191EF3" w:rsidRPr="00957D49">
          <w:pgSz w:w="11906" w:h="16383"/>
          <w:pgMar w:top="567" w:right="567" w:bottom="709" w:left="568" w:header="0" w:footer="0" w:gutter="0"/>
          <w:cols w:space="720"/>
          <w:formProt w:val="0"/>
          <w:docGrid w:linePitch="299" w:charSpace="4096"/>
        </w:sectPr>
      </w:pPr>
    </w:p>
    <w:p w:rsidR="00191EF3" w:rsidRDefault="00957D49">
      <w:pPr>
        <w:spacing w:after="0" w:line="240" w:lineRule="auto"/>
        <w:ind w:left="119" w:firstLine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ПЛАНИРОВАНИЕ  «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ЛИТЕРАТУРНОЕ ЧТЕНИЕ»  2 КЛАСС</w:t>
      </w:r>
    </w:p>
    <w:p w:rsidR="00191EF3" w:rsidRDefault="00191EF3">
      <w:pPr>
        <w:spacing w:after="0" w:line="240" w:lineRule="auto"/>
        <w:ind w:left="119" w:firstLine="23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63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0"/>
        <w:gridCol w:w="7228"/>
        <w:gridCol w:w="797"/>
        <w:gridCol w:w="1094"/>
        <w:gridCol w:w="8"/>
        <w:gridCol w:w="794"/>
      </w:tblGrid>
      <w:tr w:rsidR="00191EF3">
        <w:trPr>
          <w:trHeight w:val="708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91EF3" w:rsidRDefault="00191EF3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191EF3" w:rsidRDefault="00191EF3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191EF3" w:rsidRDefault="00191EF3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362"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hanging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957D49">
            <w:pPr>
              <w:spacing w:after="0" w:line="240" w:lineRule="auto"/>
              <w:ind w:left="-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прибаутки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34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924"/>
        </w:trPr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сказок разного вида (о животных, бытовые, волшебные). На примере русской народной сказки «У </w:t>
            </w:r>
          </w:p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страха глаза велики»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802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  <w:p w:rsidR="00191EF3" w:rsidRDefault="00191EF3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осени в произведении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М.М.Пришвина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«Четыре художника»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С.Т.Романовского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К.Г.Паустовского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«Мещёрская сторона»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прихода весны в произведениях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В.А.Жуковского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Л.Н.Толстого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«Лев и мышь»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62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Берестова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«Страшный рассказ»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В.В. Бианки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I полугодие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49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468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К.Д.Ушинского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Бианки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77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81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образа зимы в произведениях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А.С.Пушкина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«Вот север, тучи нагоняя…»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С.А.Есенина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«Поёт зима – аукает»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И.З.Суриков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66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92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93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В.И.Даля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«Девочка Снегурочка»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97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99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горе"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Произведения по выбору, например, А.Л.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"Верёвочка"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105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107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героев рассказов Н.Н. Носова «На горке» и «Заплатка». Оценка поступков героя рассказа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112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взаимооотношений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119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Заклички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веснянки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122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«Четыре художника». Составление плана текста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«Четыре художника». Средства выразительности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стихотворением Ф.И. Тютчева «Зима недаром злится...»: выделение средств художественной выразительности. Устное сочинение "Я рад весне". Проверочная работа за III четверть.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Г.А.Скребицкий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«Весенняя песня». Проверочная работа за III четверть.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весны, отражённые в произведениях писателей. Картины весны в стихотворениях разных поэтов.</w:t>
            </w:r>
          </w:p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Высотской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лета в произведении И.З. Сурикова «Лето»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136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«Природа весной» в картинах художников и произведениях композиторов. Образы пробуждающейся природы в живописи и музыки.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143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Баруздина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145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Хармса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Врун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149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150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рассказа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В.Ю.Драгунского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152</w:t>
            </w:r>
          </w:p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Миккель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медведь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Бамсе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157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2 класс.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158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48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159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26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Ш.Перро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«Кот в сапогах»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161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героев сказки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Ш.Перро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«Кот в сапогах»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162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163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164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Ладонщиков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«Лучший друг»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книг на основе рекомендательного списка: летнее чтение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EF3">
        <w:trPr>
          <w:trHeight w:val="372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957D49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191EF3">
            <w:pPr>
              <w:spacing w:after="0" w:line="240" w:lineRule="auto"/>
              <w:ind w:left="119" w:firstLine="2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91EF3" w:rsidRDefault="00191EF3">
            <w:pPr>
              <w:spacing w:line="240" w:lineRule="auto"/>
              <w:ind w:left="119" w:firstLine="2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1EF3" w:rsidRDefault="00191EF3">
      <w:pPr>
        <w:ind w:left="119" w:firstLine="23"/>
        <w:rPr>
          <w:lang w:val="ru-RU"/>
        </w:rPr>
      </w:pPr>
    </w:p>
    <w:p w:rsidR="00191EF3" w:rsidRDefault="00957D49">
      <w:pPr>
        <w:tabs>
          <w:tab w:val="left" w:pos="3408"/>
        </w:tabs>
        <w:rPr>
          <w:lang w:val="ru-RU"/>
        </w:rPr>
      </w:pPr>
      <w:bookmarkStart w:id="25" w:name="block-42899093"/>
      <w:r>
        <w:rPr>
          <w:lang w:val="ru-RU"/>
        </w:rPr>
        <w:tab/>
      </w:r>
      <w:bookmarkEnd w:id="25"/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tabs>
          <w:tab w:val="left" w:pos="3408"/>
        </w:tabs>
        <w:rPr>
          <w:lang w:val="ru-RU"/>
        </w:rPr>
      </w:pPr>
    </w:p>
    <w:p w:rsidR="00191EF3" w:rsidRDefault="00191EF3">
      <w:pPr>
        <w:pStyle w:val="aa"/>
        <w:tabs>
          <w:tab w:val="left" w:pos="3408"/>
        </w:tabs>
        <w:rPr>
          <w:lang w:val="ru-RU"/>
        </w:rPr>
      </w:pPr>
      <w:bookmarkStart w:id="26" w:name="_GoBack"/>
      <w:bookmarkEnd w:id="26"/>
    </w:p>
    <w:sectPr w:rsidR="00191EF3">
      <w:pgSz w:w="11906" w:h="16838"/>
      <w:pgMar w:top="568" w:right="567" w:bottom="567" w:left="709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5011"/>
    <w:multiLevelType w:val="multilevel"/>
    <w:tmpl w:val="CB2045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0021EB"/>
    <w:multiLevelType w:val="multilevel"/>
    <w:tmpl w:val="CFF45B0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84D7B70"/>
    <w:multiLevelType w:val="multilevel"/>
    <w:tmpl w:val="725E18B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FFF3944"/>
    <w:multiLevelType w:val="multilevel"/>
    <w:tmpl w:val="36E2E7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4B56FE7"/>
    <w:multiLevelType w:val="multilevel"/>
    <w:tmpl w:val="A6BCE3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5CC2AE2"/>
    <w:multiLevelType w:val="multilevel"/>
    <w:tmpl w:val="9EE2D12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74B29F9"/>
    <w:multiLevelType w:val="multilevel"/>
    <w:tmpl w:val="DC9498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88C4713"/>
    <w:multiLevelType w:val="multilevel"/>
    <w:tmpl w:val="C55034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0D807B0"/>
    <w:multiLevelType w:val="multilevel"/>
    <w:tmpl w:val="46DCBC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08A4206"/>
    <w:multiLevelType w:val="multilevel"/>
    <w:tmpl w:val="487E6A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4343015"/>
    <w:multiLevelType w:val="multilevel"/>
    <w:tmpl w:val="84A0978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8D313DE"/>
    <w:multiLevelType w:val="multilevel"/>
    <w:tmpl w:val="9D7892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A9620C1"/>
    <w:multiLevelType w:val="multilevel"/>
    <w:tmpl w:val="9A8448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1450345"/>
    <w:multiLevelType w:val="multilevel"/>
    <w:tmpl w:val="176269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5D45B7D"/>
    <w:multiLevelType w:val="multilevel"/>
    <w:tmpl w:val="1BCE16A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E4A0ACF"/>
    <w:multiLevelType w:val="multilevel"/>
    <w:tmpl w:val="CB96B4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EC57F80"/>
    <w:multiLevelType w:val="multilevel"/>
    <w:tmpl w:val="517EB4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5744EE"/>
    <w:multiLevelType w:val="multilevel"/>
    <w:tmpl w:val="41E0C2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7225EE2"/>
    <w:multiLevelType w:val="multilevel"/>
    <w:tmpl w:val="826832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C0E11C9"/>
    <w:multiLevelType w:val="multilevel"/>
    <w:tmpl w:val="00562D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48F5048"/>
    <w:multiLevelType w:val="multilevel"/>
    <w:tmpl w:val="56406B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9"/>
  </w:num>
  <w:num w:numId="2">
    <w:abstractNumId w:val="16"/>
  </w:num>
  <w:num w:numId="3">
    <w:abstractNumId w:val="0"/>
  </w:num>
  <w:num w:numId="4">
    <w:abstractNumId w:val="9"/>
  </w:num>
  <w:num w:numId="5">
    <w:abstractNumId w:val="20"/>
  </w:num>
  <w:num w:numId="6">
    <w:abstractNumId w:val="11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15"/>
  </w:num>
  <w:num w:numId="12">
    <w:abstractNumId w:val="6"/>
  </w:num>
  <w:num w:numId="13">
    <w:abstractNumId w:val="10"/>
  </w:num>
  <w:num w:numId="14">
    <w:abstractNumId w:val="13"/>
  </w:num>
  <w:num w:numId="15">
    <w:abstractNumId w:val="1"/>
  </w:num>
  <w:num w:numId="16">
    <w:abstractNumId w:val="12"/>
  </w:num>
  <w:num w:numId="17">
    <w:abstractNumId w:val="7"/>
  </w:num>
  <w:num w:numId="18">
    <w:abstractNumId w:val="18"/>
  </w:num>
  <w:num w:numId="19">
    <w:abstractNumId w:val="17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EF3"/>
    <w:rsid w:val="000B1CD3"/>
    <w:rsid w:val="00191EF3"/>
    <w:rsid w:val="00352DD3"/>
    <w:rsid w:val="00812E0C"/>
    <w:rsid w:val="0095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6139"/>
  <w15:docId w15:val="{F10C0A7A-4818-49A2-BA9D-8CC14191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0B5C7F"/>
    <w:rPr>
      <w:rFonts w:ascii="Segoe UI" w:hAnsi="Segoe UI" w:cs="Segoe UI"/>
      <w:sz w:val="18"/>
      <w:szCs w:val="18"/>
    </w:rPr>
  </w:style>
  <w:style w:type="character" w:customStyle="1" w:styleId="a8">
    <w:name w:val="Выделение жирным"/>
    <w:qFormat/>
    <w:rPr>
      <w:b/>
      <w:bCs/>
    </w:rPr>
  </w:style>
  <w:style w:type="paragraph" w:styleId="a9">
    <w:name w:val="Title"/>
    <w:basedOn w:val="a"/>
    <w:next w:val="a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f1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Balloon Text"/>
    <w:basedOn w:val="a"/>
    <w:uiPriority w:val="99"/>
    <w:semiHidden/>
    <w:unhideWhenUsed/>
    <w:qFormat/>
    <w:rsid w:val="000B5C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99"/>
    <w:qFormat/>
    <w:rsid w:val="000B5C7F"/>
    <w:pPr>
      <w:spacing w:after="160" w:line="259" w:lineRule="auto"/>
      <w:ind w:left="720"/>
      <w:contextualSpacing/>
    </w:pPr>
  </w:style>
  <w:style w:type="numbering" w:customStyle="1" w:styleId="11">
    <w:name w:val="Нет списка1"/>
    <w:uiPriority w:val="99"/>
    <w:semiHidden/>
    <w:unhideWhenUsed/>
    <w:qFormat/>
    <w:rsid w:val="000B5C7F"/>
  </w:style>
  <w:style w:type="numbering" w:customStyle="1" w:styleId="110">
    <w:name w:val="Нет списка11"/>
    <w:uiPriority w:val="99"/>
    <w:semiHidden/>
    <w:unhideWhenUsed/>
    <w:qFormat/>
    <w:rsid w:val="000B5C7F"/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"/>
    <w:basedOn w:val="a1"/>
    <w:uiPriority w:val="59"/>
    <w:rsid w:val="000B5C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A0020-237B-474B-9C1C-8A2AAF699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17</Pages>
  <Words>6754</Words>
  <Characters>38501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савцова</dc:creator>
  <dc:description/>
  <cp:lastModifiedBy>admin</cp:lastModifiedBy>
  <cp:revision>12</cp:revision>
  <dcterms:created xsi:type="dcterms:W3CDTF">2024-09-27T20:14:00Z</dcterms:created>
  <dcterms:modified xsi:type="dcterms:W3CDTF">2024-11-29T09:19:00Z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